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000" w:rsidRDefault="00E10000" w:rsidP="007E1F66">
      <w:pPr>
        <w:ind w:firstLine="708"/>
        <w:rPr>
          <w:rFonts w:ascii="Times New Roman" w:hAnsi="Times New Roman" w:cs="Times New Roman"/>
          <w:b/>
          <w:bCs/>
          <w:i/>
          <w:iCs/>
          <w:sz w:val="32"/>
          <w:szCs w:val="32"/>
        </w:rPr>
      </w:pPr>
    </w:p>
    <w:p w:rsidR="00E10000" w:rsidRDefault="00E10000" w:rsidP="007E1F66">
      <w:pPr>
        <w:ind w:firstLine="708"/>
        <w:rPr>
          <w:rFonts w:ascii="Times New Roman" w:hAnsi="Times New Roman" w:cs="Times New Roman"/>
          <w:b/>
          <w:bCs/>
          <w:i/>
          <w:iCs/>
          <w:sz w:val="32"/>
          <w:szCs w:val="32"/>
        </w:rPr>
      </w:pPr>
    </w:p>
    <w:p w:rsidR="00E10000" w:rsidRDefault="00E10000" w:rsidP="00E10000">
      <w:pPr>
        <w:ind w:firstLine="708"/>
        <w:jc w:val="center"/>
        <w:rPr>
          <w:rFonts w:ascii="Times New Roman" w:hAnsi="Times New Roman" w:cs="Times New Roman"/>
          <w:b/>
          <w:bCs/>
          <w:i/>
          <w:iCs/>
          <w:sz w:val="32"/>
          <w:szCs w:val="32"/>
        </w:rPr>
      </w:pPr>
      <w:r>
        <w:rPr>
          <w:rFonts w:ascii="Times New Roman" w:hAnsi="Times New Roman" w:cs="Times New Roman"/>
          <w:b/>
          <w:bCs/>
          <w:i/>
          <w:iCs/>
          <w:sz w:val="32"/>
          <w:szCs w:val="32"/>
        </w:rPr>
        <w:t>CONCLUSION ET RECOMMANDATION :</w:t>
      </w:r>
    </w:p>
    <w:p w:rsidR="00E10000" w:rsidRDefault="00E10000" w:rsidP="007E1F66">
      <w:pPr>
        <w:ind w:firstLine="708"/>
        <w:rPr>
          <w:rFonts w:ascii="Times New Roman" w:hAnsi="Times New Roman" w:cs="Times New Roman"/>
          <w:b/>
          <w:bCs/>
          <w:i/>
          <w:iCs/>
          <w:sz w:val="32"/>
          <w:szCs w:val="32"/>
        </w:rPr>
      </w:pPr>
    </w:p>
    <w:p w:rsidR="005F2E22" w:rsidRDefault="007E1F66" w:rsidP="007E1F66">
      <w:pPr>
        <w:ind w:firstLine="708"/>
        <w:rPr>
          <w:rFonts w:ascii="Times New Roman" w:hAnsi="Times New Roman" w:cs="Times New Roman"/>
          <w:i/>
          <w:iCs/>
          <w:sz w:val="28"/>
          <w:szCs w:val="28"/>
        </w:rPr>
      </w:pPr>
      <w:r>
        <w:rPr>
          <w:rFonts w:ascii="Times New Roman" w:hAnsi="Times New Roman" w:cs="Times New Roman"/>
          <w:i/>
          <w:iCs/>
          <w:sz w:val="28"/>
          <w:szCs w:val="28"/>
        </w:rPr>
        <w:t>Le procédé de décarbonatation du gaz naturel est l’un des procédés les plus importants dans la section d’épuration du gaz naturel car ce dernier doit être liquéfié et transporté.</w:t>
      </w:r>
    </w:p>
    <w:p w:rsidR="007E1F66" w:rsidRDefault="007E1F66" w:rsidP="007E1F66">
      <w:pPr>
        <w:ind w:firstLine="708"/>
        <w:rPr>
          <w:rFonts w:ascii="Times New Roman" w:hAnsi="Times New Roman" w:cs="Times New Roman"/>
          <w:i/>
          <w:iCs/>
          <w:sz w:val="28"/>
          <w:szCs w:val="28"/>
        </w:rPr>
      </w:pPr>
      <w:r>
        <w:rPr>
          <w:rFonts w:ascii="Times New Roman" w:hAnsi="Times New Roman" w:cs="Times New Roman"/>
          <w:i/>
          <w:iCs/>
          <w:sz w:val="28"/>
          <w:szCs w:val="28"/>
        </w:rPr>
        <w:t>Le calcul technologique, cinétique et la modélisation de ce procédé s’avère une opération nécessaire, qui nous permet d’un côté de choisir le meilleur solvant pour l’absorption de CO</w:t>
      </w:r>
      <w:r w:rsidRPr="007E1F66">
        <w:rPr>
          <w:rFonts w:ascii="Times New Roman" w:hAnsi="Times New Roman" w:cs="Times New Roman"/>
          <w:i/>
          <w:iCs/>
          <w:sz w:val="28"/>
          <w:szCs w:val="28"/>
          <w:vertAlign w:val="subscript"/>
        </w:rPr>
        <w:t>2</w:t>
      </w:r>
      <w:r>
        <w:rPr>
          <w:rFonts w:ascii="Times New Roman" w:hAnsi="Times New Roman" w:cs="Times New Roman"/>
          <w:i/>
          <w:iCs/>
          <w:sz w:val="28"/>
          <w:szCs w:val="28"/>
        </w:rPr>
        <w:t xml:space="preserve"> et la maîtrise des paramètres de fonctionnement du procédé tel que température, pression et qualité du solvant pour l’obtention d’un gaz naturel le plus possible.</w:t>
      </w:r>
    </w:p>
    <w:p w:rsidR="007E1F66" w:rsidRDefault="007E1F66" w:rsidP="00CF68C7">
      <w:pPr>
        <w:ind w:firstLine="708"/>
        <w:rPr>
          <w:rFonts w:ascii="Times New Roman" w:hAnsi="Times New Roman" w:cs="Times New Roman"/>
          <w:i/>
          <w:iCs/>
          <w:sz w:val="28"/>
          <w:szCs w:val="28"/>
        </w:rPr>
      </w:pPr>
      <w:r>
        <w:rPr>
          <w:rFonts w:ascii="Times New Roman" w:hAnsi="Times New Roman" w:cs="Times New Roman"/>
          <w:i/>
          <w:iCs/>
          <w:sz w:val="28"/>
          <w:szCs w:val="28"/>
        </w:rPr>
        <w:t xml:space="preserve">Dans notre cas, la solution du MEA par rapport a celle de DEA et MDEA est de loin le meilleur solvant qui doit </w:t>
      </w:r>
      <w:r w:rsidR="00CF68C7">
        <w:rPr>
          <w:rFonts w:ascii="Times New Roman" w:hAnsi="Times New Roman" w:cs="Times New Roman"/>
          <w:i/>
          <w:iCs/>
          <w:sz w:val="28"/>
          <w:szCs w:val="28"/>
        </w:rPr>
        <w:t>être</w:t>
      </w:r>
      <w:r>
        <w:rPr>
          <w:rFonts w:ascii="Times New Roman" w:hAnsi="Times New Roman" w:cs="Times New Roman"/>
          <w:i/>
          <w:iCs/>
          <w:sz w:val="28"/>
          <w:szCs w:val="28"/>
        </w:rPr>
        <w:t xml:space="preserve"> utilisé pout obtenir un taux d’absorption de CO</w:t>
      </w:r>
      <w:r w:rsidRPr="007E1F66">
        <w:rPr>
          <w:rFonts w:ascii="Times New Roman" w:hAnsi="Times New Roman" w:cs="Times New Roman"/>
          <w:i/>
          <w:iCs/>
          <w:sz w:val="28"/>
          <w:szCs w:val="28"/>
          <w:vertAlign w:val="subscript"/>
        </w:rPr>
        <w:t>2</w:t>
      </w:r>
      <w:r>
        <w:rPr>
          <w:rFonts w:ascii="Times New Roman" w:hAnsi="Times New Roman" w:cs="Times New Roman"/>
          <w:i/>
          <w:iCs/>
          <w:sz w:val="28"/>
          <w:szCs w:val="28"/>
        </w:rPr>
        <w:t xml:space="preserve"> voulu, car les deux derniers doivent </w:t>
      </w:r>
      <w:r w:rsidR="00CF68C7">
        <w:rPr>
          <w:rFonts w:ascii="Times New Roman" w:hAnsi="Times New Roman" w:cs="Times New Roman"/>
          <w:i/>
          <w:iCs/>
          <w:sz w:val="28"/>
          <w:szCs w:val="28"/>
        </w:rPr>
        <w:t>être</w:t>
      </w:r>
      <w:r>
        <w:rPr>
          <w:rFonts w:ascii="Times New Roman" w:hAnsi="Times New Roman" w:cs="Times New Roman"/>
          <w:i/>
          <w:iCs/>
          <w:sz w:val="28"/>
          <w:szCs w:val="28"/>
        </w:rPr>
        <w:t xml:space="preserve"> utilisées en très grande quantité pour obtenir ce taux, ce qui mène à une grande dépen</w:t>
      </w:r>
      <w:r w:rsidR="00CF68C7">
        <w:rPr>
          <w:rFonts w:ascii="Times New Roman" w:hAnsi="Times New Roman" w:cs="Times New Roman"/>
          <w:i/>
          <w:iCs/>
          <w:sz w:val="28"/>
          <w:szCs w:val="28"/>
        </w:rPr>
        <w:t>s</w:t>
      </w:r>
      <w:r>
        <w:rPr>
          <w:rFonts w:ascii="Times New Roman" w:hAnsi="Times New Roman" w:cs="Times New Roman"/>
          <w:i/>
          <w:iCs/>
          <w:sz w:val="28"/>
          <w:szCs w:val="28"/>
        </w:rPr>
        <w:t>e d’énergie pour le refroidissement du solvant à l’entrée du dé</w:t>
      </w:r>
      <w:r w:rsidR="00CF68C7">
        <w:rPr>
          <w:rFonts w:ascii="Times New Roman" w:hAnsi="Times New Roman" w:cs="Times New Roman"/>
          <w:i/>
          <w:iCs/>
          <w:sz w:val="28"/>
          <w:szCs w:val="28"/>
        </w:rPr>
        <w:t>sorbeur.</w:t>
      </w:r>
    </w:p>
    <w:p w:rsidR="00CF68C7" w:rsidRDefault="00CF68C7" w:rsidP="00CF68C7">
      <w:pPr>
        <w:ind w:firstLine="708"/>
        <w:rPr>
          <w:rFonts w:ascii="Times New Roman" w:hAnsi="Times New Roman" w:cs="Times New Roman"/>
          <w:i/>
          <w:iCs/>
          <w:sz w:val="28"/>
          <w:szCs w:val="28"/>
        </w:rPr>
      </w:pPr>
      <w:r>
        <w:rPr>
          <w:rFonts w:ascii="Times New Roman" w:hAnsi="Times New Roman" w:cs="Times New Roman"/>
          <w:i/>
          <w:iCs/>
          <w:sz w:val="28"/>
          <w:szCs w:val="28"/>
        </w:rPr>
        <w:t>Les résultats obtenus concordent d’une façon exacte avec ceux de l’industrie. Notre calcul s’avère une base pour la simulation et l’optimisation du procédé de décarbonatation du gaz naturel de l’unité GNL d’Arzew.</w:t>
      </w:r>
    </w:p>
    <w:p w:rsidR="00E6702A" w:rsidRDefault="00CF68C7" w:rsidP="00E6702A">
      <w:pPr>
        <w:ind w:firstLine="708"/>
        <w:rPr>
          <w:rFonts w:ascii="Times New Roman" w:hAnsi="Times New Roman" w:cs="Times New Roman"/>
          <w:i/>
          <w:iCs/>
          <w:sz w:val="28"/>
          <w:szCs w:val="28"/>
        </w:rPr>
      </w:pPr>
      <w:r>
        <w:rPr>
          <w:rFonts w:ascii="Times New Roman" w:hAnsi="Times New Roman" w:cs="Times New Roman"/>
          <w:i/>
          <w:iCs/>
          <w:sz w:val="28"/>
          <w:szCs w:val="28"/>
        </w:rPr>
        <w:t>Nous préconisons d’</w:t>
      </w:r>
      <w:r w:rsidR="00E6702A">
        <w:rPr>
          <w:rFonts w:ascii="Times New Roman" w:hAnsi="Times New Roman" w:cs="Times New Roman"/>
          <w:i/>
          <w:iCs/>
          <w:sz w:val="28"/>
          <w:szCs w:val="28"/>
        </w:rPr>
        <w:t>essayer</w:t>
      </w:r>
      <w:r>
        <w:rPr>
          <w:rFonts w:ascii="Times New Roman" w:hAnsi="Times New Roman" w:cs="Times New Roman"/>
          <w:i/>
          <w:iCs/>
          <w:sz w:val="28"/>
          <w:szCs w:val="28"/>
        </w:rPr>
        <w:t xml:space="preserve"> encore d’au</w:t>
      </w:r>
      <w:r w:rsidR="00E6702A">
        <w:rPr>
          <w:rFonts w:ascii="Times New Roman" w:hAnsi="Times New Roman" w:cs="Times New Roman"/>
          <w:i/>
          <w:iCs/>
          <w:sz w:val="28"/>
          <w:szCs w:val="28"/>
        </w:rPr>
        <w:t>t</w:t>
      </w:r>
      <w:r>
        <w:rPr>
          <w:rFonts w:ascii="Times New Roman" w:hAnsi="Times New Roman" w:cs="Times New Roman"/>
          <w:i/>
          <w:iCs/>
          <w:sz w:val="28"/>
          <w:szCs w:val="28"/>
        </w:rPr>
        <w:t>res solvants qui seront susceptible non seulement d’éliminer simultanément le CO</w:t>
      </w:r>
      <w:r w:rsidRPr="007E1F66">
        <w:rPr>
          <w:rFonts w:ascii="Times New Roman" w:hAnsi="Times New Roman" w:cs="Times New Roman"/>
          <w:i/>
          <w:iCs/>
          <w:sz w:val="28"/>
          <w:szCs w:val="28"/>
          <w:vertAlign w:val="subscript"/>
        </w:rPr>
        <w:t>2</w:t>
      </w:r>
      <w:r>
        <w:rPr>
          <w:rFonts w:ascii="Times New Roman" w:hAnsi="Times New Roman" w:cs="Times New Roman"/>
          <w:i/>
          <w:iCs/>
          <w:sz w:val="28"/>
          <w:szCs w:val="28"/>
        </w:rPr>
        <w:t xml:space="preserve"> et le H</w:t>
      </w:r>
      <w:r w:rsidRPr="00B715E7">
        <w:rPr>
          <w:rFonts w:ascii="Times New Roman" w:hAnsi="Times New Roman" w:cs="Times New Roman"/>
          <w:i/>
          <w:iCs/>
          <w:sz w:val="28"/>
          <w:szCs w:val="28"/>
          <w:vertAlign w:val="subscript"/>
        </w:rPr>
        <w:t>2</w:t>
      </w:r>
      <w:r>
        <w:rPr>
          <w:rFonts w:ascii="Times New Roman" w:hAnsi="Times New Roman" w:cs="Times New Roman"/>
          <w:i/>
          <w:iCs/>
          <w:sz w:val="28"/>
          <w:szCs w:val="28"/>
        </w:rPr>
        <w:t>S du gaz naturel, si ce dernier cont</w:t>
      </w:r>
      <w:r w:rsidR="00E6702A">
        <w:rPr>
          <w:rFonts w:ascii="Times New Roman" w:hAnsi="Times New Roman" w:cs="Times New Roman"/>
          <w:i/>
          <w:iCs/>
          <w:sz w:val="28"/>
          <w:szCs w:val="28"/>
        </w:rPr>
        <w:t>i</w:t>
      </w:r>
      <w:r>
        <w:rPr>
          <w:rFonts w:ascii="Times New Roman" w:hAnsi="Times New Roman" w:cs="Times New Roman"/>
          <w:i/>
          <w:iCs/>
          <w:sz w:val="28"/>
          <w:szCs w:val="28"/>
        </w:rPr>
        <w:t>en</w:t>
      </w:r>
      <w:r w:rsidR="00E6702A">
        <w:rPr>
          <w:rFonts w:ascii="Times New Roman" w:hAnsi="Times New Roman" w:cs="Times New Roman"/>
          <w:i/>
          <w:iCs/>
          <w:sz w:val="28"/>
          <w:szCs w:val="28"/>
        </w:rPr>
        <w:t>d</w:t>
      </w:r>
      <w:r>
        <w:rPr>
          <w:rFonts w:ascii="Times New Roman" w:hAnsi="Times New Roman" w:cs="Times New Roman"/>
          <w:i/>
          <w:iCs/>
          <w:sz w:val="28"/>
          <w:szCs w:val="28"/>
        </w:rPr>
        <w:t xml:space="preserve">ra un jour (découverte) ces deux constituants. Il faut aussi revoir le nombre de réfrigérants intermédiaires </w:t>
      </w:r>
      <w:r w:rsidR="00E6702A">
        <w:rPr>
          <w:rFonts w:ascii="Times New Roman" w:hAnsi="Times New Roman" w:cs="Times New Roman"/>
          <w:i/>
          <w:iCs/>
          <w:sz w:val="28"/>
          <w:szCs w:val="28"/>
        </w:rPr>
        <w:t>pour préface à l’exothermicité des réactions, qui est un phénomène néfaste pour l’absorption. De faire des études sur des colonnes de différents plateaux et de garnissage pour comparer les différents taux d’absorption.</w:t>
      </w:r>
    </w:p>
    <w:p w:rsidR="00CF68C7" w:rsidRPr="007E1F66" w:rsidRDefault="00E6702A" w:rsidP="00AB40E9">
      <w:pPr>
        <w:ind w:firstLine="708"/>
        <w:rPr>
          <w:rFonts w:ascii="Times New Roman" w:hAnsi="Times New Roman" w:cs="Times New Roman"/>
          <w:i/>
          <w:iCs/>
          <w:sz w:val="28"/>
          <w:szCs w:val="28"/>
        </w:rPr>
      </w:pPr>
      <w:r>
        <w:rPr>
          <w:rFonts w:ascii="Times New Roman" w:hAnsi="Times New Roman" w:cs="Times New Roman"/>
          <w:i/>
          <w:iCs/>
          <w:sz w:val="28"/>
          <w:szCs w:val="28"/>
        </w:rPr>
        <w:t>Enfin pour maitriser complètement ce procédé il faut faire un model se basant non seulement su</w:t>
      </w:r>
      <w:r w:rsidR="00AB40E9">
        <w:rPr>
          <w:rFonts w:ascii="Times New Roman" w:hAnsi="Times New Roman" w:cs="Times New Roman"/>
          <w:i/>
          <w:iCs/>
          <w:sz w:val="28"/>
          <w:szCs w:val="28"/>
        </w:rPr>
        <w:t>r</w:t>
      </w:r>
      <w:r>
        <w:rPr>
          <w:rFonts w:ascii="Times New Roman" w:hAnsi="Times New Roman" w:cs="Times New Roman"/>
          <w:i/>
          <w:iCs/>
          <w:sz w:val="28"/>
          <w:szCs w:val="28"/>
        </w:rPr>
        <w:t xml:space="preserve"> la cinétique des réactions mais aussi sur le transfert de quantité de mouvement </w:t>
      </w:r>
      <w:r w:rsidR="00AB40E9">
        <w:rPr>
          <w:rFonts w:ascii="Times New Roman" w:hAnsi="Times New Roman" w:cs="Times New Roman"/>
          <w:i/>
          <w:iCs/>
          <w:sz w:val="28"/>
          <w:szCs w:val="28"/>
        </w:rPr>
        <w:t xml:space="preserve">et </w:t>
      </w:r>
      <w:r>
        <w:rPr>
          <w:rFonts w:ascii="Times New Roman" w:hAnsi="Times New Roman" w:cs="Times New Roman"/>
          <w:i/>
          <w:iCs/>
          <w:sz w:val="28"/>
          <w:szCs w:val="28"/>
        </w:rPr>
        <w:t xml:space="preserve">le transfert de masse entre les phases.  </w:t>
      </w:r>
      <w:r w:rsidR="00CF68C7">
        <w:rPr>
          <w:rFonts w:ascii="Times New Roman" w:hAnsi="Times New Roman" w:cs="Times New Roman"/>
          <w:i/>
          <w:iCs/>
          <w:sz w:val="28"/>
          <w:szCs w:val="28"/>
        </w:rPr>
        <w:t xml:space="preserve">  </w:t>
      </w:r>
    </w:p>
    <w:sectPr w:rsidR="00CF68C7" w:rsidRPr="007E1F66" w:rsidSect="002231C2">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3377" w:rsidRDefault="00EA3377" w:rsidP="00C56083">
      <w:pPr>
        <w:spacing w:after="0" w:line="240" w:lineRule="auto"/>
      </w:pPr>
      <w:r>
        <w:separator/>
      </w:r>
    </w:p>
  </w:endnote>
  <w:endnote w:type="continuationSeparator" w:id="1">
    <w:p w:rsidR="00EA3377" w:rsidRDefault="00EA3377" w:rsidP="00C560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000" w:rsidRDefault="00E10000" w:rsidP="002231C2">
    <w:pPr>
      <w:pStyle w:val="Pieddepage"/>
      <w:pBdr>
        <w:top w:val="thinThickSmallGap" w:sz="24" w:space="1" w:color="622423" w:themeColor="accent2" w:themeShade="7F"/>
      </w:pBdr>
      <w:jc w:val="center"/>
      <w:rPr>
        <w:rFonts w:asciiTheme="majorHAnsi" w:hAnsiTheme="majorHAnsi"/>
      </w:rPr>
    </w:pPr>
    <w:r>
      <w:rPr>
        <w:rFonts w:asciiTheme="majorHAnsi" w:hAnsiTheme="majorHAnsi"/>
      </w:rPr>
      <w:t>-</w:t>
    </w:r>
    <w:r w:rsidR="002231C2">
      <w:rPr>
        <w:rFonts w:asciiTheme="majorHAnsi" w:hAnsiTheme="majorHAnsi"/>
      </w:rPr>
      <w:t>110</w:t>
    </w:r>
    <w:r>
      <w:rPr>
        <w:rFonts w:asciiTheme="majorHAnsi" w:hAnsiTheme="majorHAnsi"/>
      </w:rPr>
      <w:t>-</w:t>
    </w:r>
  </w:p>
  <w:p w:rsidR="00E10000" w:rsidRDefault="00E1000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3377" w:rsidRDefault="00EA3377" w:rsidP="00C56083">
      <w:pPr>
        <w:spacing w:after="0" w:line="240" w:lineRule="auto"/>
      </w:pPr>
      <w:r>
        <w:separator/>
      </w:r>
    </w:p>
  </w:footnote>
  <w:footnote w:type="continuationSeparator" w:id="1">
    <w:p w:rsidR="00EA3377" w:rsidRDefault="00EA3377" w:rsidP="00C560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bCs/>
        <w:i/>
        <w:iCs/>
        <w:sz w:val="32"/>
        <w:szCs w:val="32"/>
      </w:rPr>
      <w:alias w:val="Titre"/>
      <w:id w:val="77738743"/>
      <w:placeholder>
        <w:docPart w:val="275BCAF0C0254CCBB4F49FEFBCE26D70"/>
      </w:placeholder>
      <w:dataBinding w:prefixMappings="xmlns:ns0='http://schemas.openxmlformats.org/package/2006/metadata/core-properties' xmlns:ns1='http://purl.org/dc/elements/1.1/'" w:xpath="/ns0:coreProperties[1]/ns1:title[1]" w:storeItemID="{6C3C8BC8-F283-45AE-878A-BAB7291924A1}"/>
      <w:text/>
    </w:sdtPr>
    <w:sdtContent>
      <w:p w:rsidR="00C56083" w:rsidRDefault="00C56083" w:rsidP="00E10000">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sidRPr="00C56083">
          <w:rPr>
            <w:rFonts w:asciiTheme="majorHAnsi" w:eastAsiaTheme="majorEastAsia" w:hAnsiTheme="majorHAnsi" w:cstheme="majorBidi"/>
            <w:b/>
            <w:bCs/>
            <w:i/>
            <w:iCs/>
            <w:sz w:val="32"/>
            <w:szCs w:val="32"/>
          </w:rPr>
          <w:t xml:space="preserve">                                                              Conclusion et </w:t>
        </w:r>
        <w:r w:rsidR="00E10000">
          <w:rPr>
            <w:rFonts w:asciiTheme="majorHAnsi" w:eastAsiaTheme="majorEastAsia" w:hAnsiTheme="majorHAnsi" w:cstheme="majorBidi"/>
            <w:b/>
            <w:bCs/>
            <w:i/>
            <w:iCs/>
            <w:sz w:val="32"/>
            <w:szCs w:val="32"/>
          </w:rPr>
          <w:t>R</w:t>
        </w:r>
        <w:r w:rsidRPr="00C56083">
          <w:rPr>
            <w:rFonts w:asciiTheme="majorHAnsi" w:eastAsiaTheme="majorEastAsia" w:hAnsiTheme="majorHAnsi" w:cstheme="majorBidi"/>
            <w:b/>
            <w:bCs/>
            <w:i/>
            <w:iCs/>
            <w:sz w:val="32"/>
            <w:szCs w:val="32"/>
          </w:rPr>
          <w:t>ecommandation</w:t>
        </w:r>
      </w:p>
    </w:sdtContent>
  </w:sdt>
  <w:p w:rsidR="00C56083" w:rsidRDefault="00C56083">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F2E22"/>
    <w:rsid w:val="00016BDD"/>
    <w:rsid w:val="000E1E69"/>
    <w:rsid w:val="002231C2"/>
    <w:rsid w:val="002361ED"/>
    <w:rsid w:val="003C41F3"/>
    <w:rsid w:val="0058415F"/>
    <w:rsid w:val="005C2840"/>
    <w:rsid w:val="005F2E22"/>
    <w:rsid w:val="007E1F66"/>
    <w:rsid w:val="00816B1E"/>
    <w:rsid w:val="009F7106"/>
    <w:rsid w:val="00AB40E9"/>
    <w:rsid w:val="00B715E7"/>
    <w:rsid w:val="00C1391A"/>
    <w:rsid w:val="00C56083"/>
    <w:rsid w:val="00CB6778"/>
    <w:rsid w:val="00CF68C7"/>
    <w:rsid w:val="00D0587D"/>
    <w:rsid w:val="00E10000"/>
    <w:rsid w:val="00E6702A"/>
    <w:rsid w:val="00EA337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B1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56083"/>
    <w:pPr>
      <w:tabs>
        <w:tab w:val="center" w:pos="4536"/>
        <w:tab w:val="right" w:pos="9072"/>
      </w:tabs>
      <w:spacing w:after="0" w:line="240" w:lineRule="auto"/>
    </w:pPr>
  </w:style>
  <w:style w:type="character" w:customStyle="1" w:styleId="En-tteCar">
    <w:name w:val="En-tête Car"/>
    <w:basedOn w:val="Policepardfaut"/>
    <w:link w:val="En-tte"/>
    <w:uiPriority w:val="99"/>
    <w:rsid w:val="00C56083"/>
  </w:style>
  <w:style w:type="paragraph" w:styleId="Pieddepage">
    <w:name w:val="footer"/>
    <w:basedOn w:val="Normal"/>
    <w:link w:val="PieddepageCar"/>
    <w:uiPriority w:val="99"/>
    <w:unhideWhenUsed/>
    <w:rsid w:val="00C5608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56083"/>
  </w:style>
  <w:style w:type="paragraph" w:styleId="Textedebulles">
    <w:name w:val="Balloon Text"/>
    <w:basedOn w:val="Normal"/>
    <w:link w:val="TextedebullesCar"/>
    <w:uiPriority w:val="99"/>
    <w:semiHidden/>
    <w:unhideWhenUsed/>
    <w:rsid w:val="00C560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560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75BCAF0C0254CCBB4F49FEFBCE26D70"/>
        <w:category>
          <w:name w:val="Général"/>
          <w:gallery w:val="placeholder"/>
        </w:category>
        <w:types>
          <w:type w:val="bbPlcHdr"/>
        </w:types>
        <w:behaviors>
          <w:behavior w:val="content"/>
        </w:behaviors>
        <w:guid w:val="{5C1DDA2A-DBD7-446F-9FBF-10F9441E85AC}"/>
      </w:docPartPr>
      <w:docPartBody>
        <w:p w:rsidR="007A0155" w:rsidRDefault="00396678" w:rsidP="00396678">
          <w:pPr>
            <w:pStyle w:val="275BCAF0C0254CCBB4F49FEFBCE26D70"/>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396678"/>
    <w:rsid w:val="002B6A42"/>
    <w:rsid w:val="00396678"/>
    <w:rsid w:val="00594256"/>
    <w:rsid w:val="006D42F8"/>
    <w:rsid w:val="007A015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15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75BCAF0C0254CCBB4F49FEFBCE26D70">
    <w:name w:val="275BCAF0C0254CCBB4F49FEFBCE26D70"/>
    <w:rsid w:val="00396678"/>
  </w:style>
  <w:style w:type="paragraph" w:customStyle="1" w:styleId="7FCB63383F7C4FEBA3D885D72098714F">
    <w:name w:val="7FCB63383F7C4FEBA3D885D72098714F"/>
    <w:rsid w:val="0039667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286</Words>
  <Characters>1574</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Conclusion et Recommandation</dc:title>
  <dc:creator>billal</dc:creator>
  <cp:lastModifiedBy>ilyes</cp:lastModifiedBy>
  <cp:revision>8</cp:revision>
  <cp:lastPrinted>2010-12-13T22:25:00Z</cp:lastPrinted>
  <dcterms:created xsi:type="dcterms:W3CDTF">2010-11-13T16:11:00Z</dcterms:created>
  <dcterms:modified xsi:type="dcterms:W3CDTF">2011-02-24T19:20:00Z</dcterms:modified>
</cp:coreProperties>
</file>